
<file path=[Content_Types].xml><?xml version="1.0" encoding="utf-8"?>
<Types xmlns="http://schemas.openxmlformats.org/package/2006/content-types">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nts/font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otnotes.xml" ContentType="application/vnd.openxmlformats-officedocument.wordprocessingml.footnotes+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7635FECE">
      <w:pPr>
        <w:spacing w:after="0"/>
        <w:jc w:val="center"/>
        <w:rPr>
          <w:rFonts w:hint="default"/>
          <w:b/>
          <w:bCs/>
          <w:sz w:val="40"/>
          <w:szCs w:val="40"/>
          <w:rtl w:val="0"/>
          <w:lang w:val="hr-HR"/>
        </w:rPr>
      </w:pPr>
      <w:r>
        <w:rPr>
          <w:rFonts w:hint="default"/>
          <w:b/>
          <w:bCs/>
          <w:sz w:val="40"/>
          <w:szCs w:val="40"/>
          <w:rtl w:val="0"/>
          <w:lang w:val="hr-HR"/>
        </w:rPr>
        <w:t>Homilija pape Lava XIV.</w:t>
      </w:r>
    </w:p>
    <w:p w14:paraId="0B40F361">
      <w:pPr>
        <w:spacing w:after="0"/>
        <w:jc w:val="center"/>
        <w:rPr>
          <w:rFonts w:hint="default"/>
          <w:sz w:val="24"/>
          <w:szCs w:val="24"/>
          <w:rtl w:val="0"/>
          <w:lang w:val="hr-HR"/>
        </w:rPr>
      </w:pPr>
    </w:p>
    <w:p w14:paraId="305FA3DB">
      <w:pPr>
        <w:spacing w:after="0"/>
        <w:jc w:val="both"/>
        <w:rPr>
          <w:sz w:val="24"/>
          <w:szCs w:val="24"/>
          <w:rtl w:val="0"/>
        </w:rPr>
      </w:pPr>
    </w:p>
    <w:p w14:paraId="00000001">
      <w:pPr>
        <w:spacing w:after="0"/>
        <w:jc w:val="both"/>
        <w:rPr>
          <w:sz w:val="24"/>
          <w:szCs w:val="24"/>
        </w:rPr>
      </w:pPr>
      <w:bookmarkStart w:id="1" w:name="_GoBack"/>
      <w:bookmarkEnd w:id="1"/>
      <w:r>
        <w:rPr>
          <w:sz w:val="24"/>
          <w:szCs w:val="24"/>
          <w:rtl w:val="0"/>
        </w:rPr>
        <w:t>Draga braćo i sestre!</w:t>
      </w:r>
    </w:p>
    <w:p w14:paraId="00000002">
      <w:pPr>
        <w:spacing w:after="0"/>
        <w:jc w:val="both"/>
        <w:rPr>
          <w:sz w:val="24"/>
          <w:szCs w:val="24"/>
        </w:rPr>
      </w:pPr>
    </w:p>
    <w:p w14:paraId="00000003">
      <w:pPr>
        <w:spacing w:after="0"/>
        <w:jc w:val="both"/>
        <w:rPr>
          <w:sz w:val="24"/>
          <w:szCs w:val="24"/>
        </w:rPr>
      </w:pPr>
      <w:r>
        <w:rPr>
          <w:sz w:val="24"/>
          <w:szCs w:val="24"/>
          <w:rtl w:val="0"/>
        </w:rPr>
        <w:t>“Veliča duša moja Gospodina.” Te riječi koje smo čuli izviru iz srca Djevice Marije dok Elizabeti donosi plod svoga krila, Isusa, Spasitelja. Nakon Nje pjevat će Kristu Zaharija, otac Ivana Krstitelja, i starac Šimun. Ova tri hvalospjeva svakodnevno označuju hvalu Crkve u Časoslovu. Oni su pogled drevnoga Izraela koji vidi ispunjena svoja obećanja; oni su pogled Crkve zaručnice upravljen prema svome božanskom Zaručniku; oni su također pogled čitavoga čovječanstva koje nalazi odgovor na svoju čežnju za spasenjem.</w:t>
      </w:r>
    </w:p>
    <w:p w14:paraId="6E9D10A1">
      <w:pPr>
        <w:spacing w:after="0"/>
        <w:jc w:val="both"/>
        <w:rPr>
          <w:sz w:val="24"/>
          <w:szCs w:val="24"/>
          <w:rtl w:val="0"/>
        </w:rPr>
      </w:pPr>
    </w:p>
    <w:p w14:paraId="00000004">
      <w:pPr>
        <w:spacing w:after="0"/>
        <w:jc w:val="both"/>
        <w:rPr>
          <w:sz w:val="24"/>
          <w:szCs w:val="24"/>
        </w:rPr>
      </w:pPr>
      <w:r>
        <w:rPr>
          <w:sz w:val="24"/>
          <w:szCs w:val="24"/>
          <w:rtl w:val="0"/>
        </w:rPr>
        <w:t>Prije sto pedeset godina, polažući kamen temeljac ovoga svetišta na mjestu gdje je erupcija Vezuva 79. godine poslije Krista zatrpala pepelom znakove velike civilizacije, sveti Bartolo Longo, zajedno sa svojom suprugom, groficom Mariannom Farnararo De Fusco, nije udario samo temelje hrama, nego i čitava marijanskoga grada. Tako je izražavao svijest o Božjemu naumu koji je sveti Ivan Pavao II., govoreći na ovome mjestu milosti 7. listopada 2003., na završetku Godine krunice, ponovno istaknuo za treće tisućljeće u perspektivi nove evangelizacije: “Danas,” govorio je, “kao i u vremenima drevne Pompeje, potrebno je naviještati Krista društvu koje se udaljava od kršćanskih vrijednosti i gubi čak i njihovo pamćenje”.</w:t>
      </w:r>
    </w:p>
    <w:p w14:paraId="2B65FA30">
      <w:pPr>
        <w:spacing w:after="0"/>
        <w:jc w:val="both"/>
        <w:rPr>
          <w:sz w:val="24"/>
          <w:szCs w:val="24"/>
          <w:rtl w:val="0"/>
        </w:rPr>
      </w:pPr>
      <w:bookmarkStart w:id="0" w:name="_q5bnfkx9occg" w:colFirst="0" w:colLast="0"/>
      <w:bookmarkEnd w:id="0"/>
    </w:p>
    <w:p w14:paraId="00000005">
      <w:pPr>
        <w:spacing w:after="0"/>
        <w:jc w:val="both"/>
        <w:rPr>
          <w:sz w:val="24"/>
          <w:szCs w:val="24"/>
        </w:rPr>
      </w:pPr>
      <w:r>
        <w:rPr>
          <w:sz w:val="24"/>
          <w:szCs w:val="24"/>
          <w:rtl w:val="0"/>
        </w:rPr>
        <w:t>Upravo prije godinu dana, kada mi je povjerena služba Petrova nasljednika, bio je Dan molitve (suplicija) Blaženoj Djevici od Svete Krunice iz Pompeja. Stoga sam morao doći ovamo da svoje služenje stavim pod zaštitu Presvete Djevice. Odabir imena Lav stavlja me na tragove Lava XIII. koji je, među ostalim zaslugama, razvio opsežno učiteljstvo o svetoj krunici. Tome se pridružuje i nedavna kanonizacija svetoga Bartola Longa, apostola krunice. Taj nam kontekst daje ključ za razmišljanje o Božjoj riječi koju smo upravo čuli.</w:t>
      </w:r>
    </w:p>
    <w:p w14:paraId="7A1DE3C5">
      <w:pPr>
        <w:spacing w:after="0"/>
        <w:jc w:val="both"/>
        <w:rPr>
          <w:sz w:val="24"/>
          <w:szCs w:val="24"/>
          <w:rtl w:val="0"/>
        </w:rPr>
      </w:pPr>
    </w:p>
    <w:p w14:paraId="00000006">
      <w:pPr>
        <w:spacing w:after="0"/>
        <w:jc w:val="both"/>
        <w:rPr>
          <w:sz w:val="24"/>
          <w:szCs w:val="24"/>
        </w:rPr>
      </w:pPr>
      <w:r>
        <w:rPr>
          <w:sz w:val="24"/>
          <w:szCs w:val="24"/>
          <w:rtl w:val="0"/>
        </w:rPr>
        <w:t>Evanđelje Navještenja uvodi nas u trenutak kada Riječ Božja postaje tijelom u krilu Marijinu. Iz toga krila zrači Svjetlo koje daje pun smisao povijesti i svijetu. Pozdrav anđela Gabrijela upućen Djevici poziv je na radost: “Zdravo, milosti puna” (Lk 1,28; usp. Sef 3,14). Da, “Zdravo, Marijo” poziv je na radost: govori Mariji, i u Njoj svima nama, da je na ruševine naše ljudskosti ranjene grijehom — stoga uvijek sklone nasilju, tlačenju i ratovima — došao Božji dodir, dodir milosrđa koji u Isusu prima ljudsko lice. Marija tako postaje Majka Milosrđa. Učenica Riječi i oruđe Njezina utjelovljenja, Ona se doista pokazuje kao “milosti puna”. Sve je u Njoj milost! Dajući tijelo Riječi, ona postaje i, kako naučava Drugi vatikanski koncil slijedeći svetoga Augustina, “majkom udova (Kristovih)… jer je ljubavlju surađivala pri rađanju vjernika u Crkvi, koji su udovi te Glave” (dogmatska konstitucija “Lumen gentium”, 53; usp. sv. Augustin, “De S. Virginitate”, 6). U Marijinu “Evo me” ne rađa se samo Isus, nego i Crkva; i Marija istodobno postaje Majka Božja – Theotókos – i Majka Crkve.</w:t>
      </w:r>
    </w:p>
    <w:p w14:paraId="3C1AD786">
      <w:pPr>
        <w:spacing w:after="0"/>
        <w:jc w:val="both"/>
        <w:rPr>
          <w:sz w:val="24"/>
          <w:szCs w:val="24"/>
          <w:rtl w:val="0"/>
        </w:rPr>
      </w:pPr>
    </w:p>
    <w:p w14:paraId="00000007">
      <w:pPr>
        <w:spacing w:after="0"/>
        <w:jc w:val="both"/>
        <w:rPr>
          <w:sz w:val="24"/>
          <w:szCs w:val="24"/>
        </w:rPr>
      </w:pPr>
      <w:r>
        <w:rPr>
          <w:sz w:val="24"/>
          <w:szCs w:val="24"/>
          <w:rtl w:val="0"/>
        </w:rPr>
        <w:t>Veliko otajstvo! Sve se zbiva u snazi Duha Svetoga, koji osjenjuje Mariju i čini plodnim Njezino djevičansko krilo. Taj trenutak povijesti ima blagost i snagu koja privlači srce i uzdiže ga do kontemplativne visine na kojoj niče molitva svete krunice. Molitva koja, nastala i postupno razvijana tijekom drugoga tisućljeća, ima svoje korijene u povijesti spasenja, a upravo u Anđelovu pozdravu Djevici nalazi svoj početak. “Zdravo, Marijo!” Ponavljanje ove molitve u krunici poput odjeka je Gabrijelova pozdrava koji prolazi kroz stoljeća i upravlja pogled vjernika k Isusu, promatranom očima i srcem Majke. Isus – u klanjanju, razmatranju, usvajanju u svakom od svojih otajstava – da bismo mogli reći sa svetim Pavlom: “Ne živim više ja, nego Krist živi u meni” (Gal 2,19).</w:t>
      </w:r>
    </w:p>
    <w:p w14:paraId="378365DD">
      <w:pPr>
        <w:spacing w:after="0"/>
        <w:jc w:val="both"/>
        <w:rPr>
          <w:sz w:val="24"/>
          <w:szCs w:val="24"/>
          <w:rtl w:val="0"/>
        </w:rPr>
      </w:pPr>
    </w:p>
    <w:p w14:paraId="00000008">
      <w:pPr>
        <w:spacing w:after="0"/>
        <w:jc w:val="both"/>
        <w:rPr>
          <w:sz w:val="24"/>
          <w:szCs w:val="24"/>
        </w:rPr>
      </w:pPr>
      <w:r>
        <w:rPr>
          <w:sz w:val="24"/>
          <w:szCs w:val="24"/>
          <w:rtl w:val="0"/>
        </w:rPr>
        <w:t>Prethodena navještajem Božje riječi, smještena između Očenaša i Slave Ocu, Zdravomarija koja se ponavlja u svetoj krunici čin je ljubavi. Nije li upravo obilježje ljubavi da bez umora ponavlja: “Volim te”? Čin ljubavi koji nas, prolazeći po zrnima vijenca – kako to lijepo prikazuje marijanska slika ovoga svetišta – uzdiže k Isusu i vodi k Euharistiji, “izvoru i vrhuncu svega kršćanskog života” (“Lumen gentium”, 11). U to je bio uvjeren i sveti Bartolo Longo kada je pisao: “Euharistija je živa krunica, i sva se otajstva nalaze u svetom sakramentu u živom i djelatnom obliku” (“Il Rosario e la Nuova Pompei”, 1914., str. 86). Imao je pravo. U Euharistiji su otajstva Kristova života na neki način sabrana u spomenu Njegove žrtve i u Njegovoj stvarnoj prisutnosti. Krunica ima marijansko lice, ali kristološko i euharistijsko srce (usp. ap. pismo “Rosarium Virginis Mariae”, 1). Ako Časoslov određuje vrijeme hvale Crkve, krunica određuje ritam našega života, uvijek ga vraćajući Isusu i Euharistiji.</w:t>
      </w:r>
    </w:p>
    <w:p w14:paraId="7D70762C">
      <w:pPr>
        <w:spacing w:after="0"/>
        <w:jc w:val="both"/>
        <w:rPr>
          <w:sz w:val="24"/>
          <w:szCs w:val="24"/>
          <w:rtl w:val="0"/>
        </w:rPr>
      </w:pPr>
    </w:p>
    <w:p w14:paraId="00000009">
      <w:pPr>
        <w:spacing w:after="0"/>
        <w:jc w:val="both"/>
        <w:rPr>
          <w:sz w:val="24"/>
          <w:szCs w:val="24"/>
        </w:rPr>
      </w:pPr>
      <w:r>
        <w:rPr>
          <w:sz w:val="24"/>
          <w:szCs w:val="24"/>
          <w:rtl w:val="0"/>
        </w:rPr>
        <w:t>Naraštaje vjernika oblikovala je i čuvala ova molitva, jednostavna i pučka, a ujedno sposobna dosegnuti mistične visine i biti riznica najvažnije kršćanske teologije. Što je, naime, bitnije od Kristovih otajstava i Njegova svetoga imena, izgovarana s nježnošću Majke Djevice? U tom imenu, i ni u kojem drugom, možemo biti spašeni (usp. Dj 4,12). Ponavljajući ga u svakoj Zdravomariji, na neki način proživljavamo kuću u Nazaretu, kao da ponovno slušamo glas Marije i Josipa u dugim godinama Isusova života s njima. Proživljavamo i dvoranu Posljednje večere, gdje su apostoli s Marijom čekali izljev Duha Svetoga. Na to nas upućuje i prvo čitanje. Kako ne pomisliti da su u vremenu između Uzašašća i Pedesetnice Marija i apostoli nastojali dozvati u pamćenje sve trenutke Isusova života? Nije smio izmaknuti ni jedan detalj! Sve je trebalo pamtiti, usvajati, nasljedovati. Tako nastaje kontemplativni put Crkve, kojemu — poput liturgijske godine — krunica daje sažetak u svakodnevnom razmatranju svetih otajstava. S pravom je nazvana sažetkom Evanđelja, koji je sveti Ivan Pavao II. nadopunio otajstvima svjetla. Ta je dimenzija bila vrlo živa i u svetome Bartolu Longu, koji je hodočasnicima nudio duboka razmatranja kako bi krunicu sačuvao od opasnosti mehaničkoga izgovaranja i osigurao joj biblijski, kristološki i kontemplativni dah koji ju mora obilježavati.</w:t>
      </w:r>
    </w:p>
    <w:p w14:paraId="10CDFDFC">
      <w:pPr>
        <w:spacing w:after="0"/>
        <w:jc w:val="both"/>
        <w:rPr>
          <w:sz w:val="24"/>
          <w:szCs w:val="24"/>
          <w:rtl w:val="0"/>
        </w:rPr>
      </w:pPr>
    </w:p>
    <w:p w14:paraId="0000000A">
      <w:pPr>
        <w:spacing w:after="0"/>
        <w:jc w:val="both"/>
        <w:rPr>
          <w:sz w:val="24"/>
          <w:szCs w:val="24"/>
        </w:rPr>
      </w:pPr>
      <w:r>
        <w:rPr>
          <w:sz w:val="24"/>
          <w:szCs w:val="24"/>
          <w:rtl w:val="0"/>
        </w:rPr>
        <w:t>Braćo i sestre, ako se krunica ovako “moli” i, usuđujem se reći, “slavi”, tada ona po svojoj naravi postaje i izvor ljubavi: ljubavi prema Bogu i ljubavi prema bližnjemu — dviju strana iste medalje, kako nas podsjeća drugo čitanje iz Prve poslanice svetoga Ivana, završavajući pozivom: “Ne ljubimo riječju ni jezikom, nego djelom i istinom” (1 Iv 3,18). Zato je sveti Bartolo Longo bio apostol krunice i apostol ljubavi. U ovome marijanskom gradu prihvatio je siročad i djecu zatvorenika, pokazujući preobražavajuću snagu ljubavi. Ovdje se i danas najmanji i najslabiji primaju i skrbe u djelima svetišta. Krunica usmjerava pogled na potrebe svijeta, kako je naglašeno u apostolskom pismu “Rosarium Virginis Mariae”, osobito ističući dvije nakane koje i danas ostaju goruće: obitelj, koja trpi zbog slabljenja bračne veze, i mir, ugrožen međunarodnim napetostima i gospodarstvom koje trgovinu oružjem stavlja ispred poštovanja ljudskoga života.</w:t>
      </w:r>
    </w:p>
    <w:p w14:paraId="6152DB42">
      <w:pPr>
        <w:spacing w:after="0"/>
        <w:jc w:val="both"/>
        <w:rPr>
          <w:sz w:val="24"/>
          <w:szCs w:val="24"/>
          <w:rtl w:val="0"/>
        </w:rPr>
      </w:pPr>
    </w:p>
    <w:p w14:paraId="0000000B">
      <w:pPr>
        <w:spacing w:after="0"/>
        <w:jc w:val="both"/>
        <w:rPr>
          <w:sz w:val="24"/>
          <w:szCs w:val="24"/>
        </w:rPr>
      </w:pPr>
      <w:r>
        <w:rPr>
          <w:sz w:val="24"/>
          <w:szCs w:val="24"/>
          <w:rtl w:val="0"/>
        </w:rPr>
        <w:t>Kada je sveti Ivan Pavao II. proglasio Godinu krunice — sljedeće će se godine navršiti četvrt stoljeća — želio ju je na poseban način staviti pod pogled Djevice Pompejske. Od tada se vremena nisu popravila. Ratovi koji se još vode u mnogim dijelovima svijeta traže obnovljeno zauzimanje ne samo na gospodarskoj i političkoj razini, nego i na duhovnoj i vjerskoj razini. Mir se rađa u srcu. Isti je Papa u listopadu 1986. u Asizu okupio predstavnike glavnih religija pozivajući sve na molitvu za mir. I u nedavnim prigodama, kako papa Franjo tako i ja, pozivali smo vjernike diljem svijeta da mole za tu nakanu. Ne smijemo se pomiriti sa slikama smrti koje nam svakodnevno donose vijesti. Iz ovoga svetišta, čije je pročelje sveti Bartolo Longo zamislio kao spomenik miru, danas s vjerom uzdižemo svoju molbu. Isus nam je rekao da molitva učinjena s vjerom može sve postići (usp. Mt 21,22). A sveti Bartolo Longo, misleći na Marijinu vjeru, naziva ju “svemoćnom po milosti”. Po Njezinu zagovoru neka od Boga mira dođe obilni izljev milosrđa koji će dotaknuti srca, utišati mržnje i bratoubilačke sukobe te prosvijetliti one koji nose posebne odgovornosti upravljanja.</w:t>
      </w:r>
    </w:p>
    <w:p w14:paraId="1470FF8E">
      <w:pPr>
        <w:spacing w:after="0"/>
        <w:jc w:val="both"/>
        <w:rPr>
          <w:sz w:val="24"/>
          <w:szCs w:val="24"/>
          <w:rtl w:val="0"/>
        </w:rPr>
      </w:pPr>
    </w:p>
    <w:p w14:paraId="0000000C">
      <w:pPr>
        <w:spacing w:after="0"/>
        <w:jc w:val="both"/>
        <w:rPr>
          <w:sz w:val="24"/>
          <w:szCs w:val="24"/>
        </w:rPr>
      </w:pPr>
      <w:r>
        <w:rPr>
          <w:sz w:val="24"/>
          <w:szCs w:val="24"/>
          <w:rtl w:val="0"/>
        </w:rPr>
        <w:t>Braćo i sestre, ni jedna zemaljska sila ne će spasiti svijet, nego samo božanska snaga ljubavi koju nam je objavio i darovao Isus, Gospodin. Vjerujmo u Njega, ufajmo se u Nj, nasljedujmo Njega!</w:t>
      </w:r>
    </w:p>
    <w:p w14:paraId="0000000D">
      <w:pPr>
        <w:spacing w:after="0"/>
        <w:jc w:val="both"/>
        <w:rPr>
          <w:sz w:val="24"/>
          <w:szCs w:val="24"/>
        </w:rPr>
      </w:pPr>
    </w:p>
    <w:sectPr>
      <w:pgSz w:w="11906" w:h="16838"/>
      <w:pgMar w:top="1440" w:right="1440" w:bottom="1440" w:left="1440" w:header="708" w:footer="708" w:gutter="0"/>
      <w:pgNumType w:start="1"/>
      <w:cols w:space="720" w:num="1"/>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pPr>
      <w:r>
        <w:separator/>
      </w:r>
    </w:p>
  </w:endnote>
  <w:endnote w:type="continuationSeparator" w:id="1">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203" w:usb1="288F0000" w:usb2="00000006" w:usb3="00000000" w:csb0="00040001" w:csb1="00000000"/>
  </w:font>
  <w:font w:name="Arial">
    <w:panose1 w:val="020B0604020202020204"/>
    <w:charset w:val="00"/>
    <w:family w:val="swiss"/>
    <w:pitch w:val="default"/>
    <w:sig w:usb0="E0002EFF" w:usb1="C000785B" w:usb2="00000009" w:usb3="00000000" w:csb0="400001FF" w:csb1="FFFF0000"/>
    <w:embedRegular r:id="rId1" w:fontKey="{FB605A1C-1463-4C5C-8B6F-035DD2F63BC6}"/>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embedRegular r:id="rId2" w:fontKey="{C6EC2276-C87B-4F24-AF6D-370A908E12A5}"/>
  </w:font>
  <w:font w:name="Wingdings">
    <w:panose1 w:val="05000000000000000000"/>
    <w:charset w:val="02"/>
    <w:family w:val="auto"/>
    <w:pitch w:val="default"/>
    <w:sig w:usb0="00000000" w:usb1="00000000" w:usb2="00000000" w:usb3="00000000" w:csb0="80000000" w:csb1="00000000"/>
    <w:embedRegular r:id="rId3" w:fontKey="{726D5FB4-12FE-4417-851E-A7FB6213CD1C}"/>
  </w:font>
  <w:font w:name="Calibri">
    <w:panose1 w:val="020F0502020204030204"/>
    <w:charset w:val="86"/>
    <w:family w:val="swiss"/>
    <w:pitch w:val="default"/>
    <w:sig w:usb0="E4002EFF" w:usb1="C000247B" w:usb2="00000009" w:usb3="00000000" w:csb0="200001FF" w:csb1="00000000"/>
    <w:embedRegular r:id="rId4" w:fontKey="{60E03963-B7C7-44B1-B81A-0109D3F39D51}"/>
  </w:font>
  <w:font w:name="等线">
    <w:altName w:val="Microsoft YaHei"/>
    <w:panose1 w:val="00000000000000000000"/>
    <w:charset w:val="86"/>
    <w:family w:val="auto"/>
    <w:pitch w:val="default"/>
    <w:sig w:usb0="00000000" w:usb1="00000000" w:usb2="00000000" w:usb3="00000000" w:csb0="00000000" w:csb1="00000000"/>
  </w:font>
  <w:font w:name="Georgia">
    <w:panose1 w:val="02040502050405020303"/>
    <w:charset w:val="00"/>
    <w:family w:val="auto"/>
    <w:pitch w:val="default"/>
    <w:sig w:usb0="00000287" w:usb1="00000000" w:usb2="00000000" w:usb3="00000000" w:csb0="2000009F" w:csb1="00000000"/>
    <w:embedRegular r:id="rId5" w:fontKey="{8D465006-3045-406B-9F3B-6A367C3C60B8}"/>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line="259" w:lineRule="auto"/>
      </w:pPr>
      <w:r>
        <w:separator/>
      </w:r>
    </w:p>
  </w:footnote>
  <w:footnote w:type="continuationSeparator" w:id="1">
    <w:p>
      <w:pPr>
        <w:spacing w:before="0" w:after="0" w:line="259" w:lineRule="auto"/>
      </w:pPr>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embedTrueTypeFonts/>
  <w:documentProtection w:enforcement="0"/>
  <w:defaultTabStop w:val="720"/>
  <w:footnotePr>
    <w:footnote w:id="0"/>
    <w:footnote w:id="1"/>
  </w:footnotePr>
  <w:endnotePr>
    <w:endnote w:id="0"/>
    <w:endnote w:id="1"/>
  </w:endnotePr>
  <w:compat>
    <w:compatSetting w:name="compatibilityMode" w:uri="http://schemas.microsoft.com/office/word" w:val="15"/>
  </w:compat>
  <w:rsids>
    <w:rsidRoot w:val="00000000"/>
    <w:rsid w:val="52D93951"/>
  </w:rsids>
  <m:mathPr>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Calibri" w:hAnsi="Calibri" w:eastAsia="Calibri" w:cs="Calibr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nhideWhenUsed="0" w:uiPriority="0" w:semiHidden="0" w:name="heading 2"/>
    <w:lsdException w:unhideWhenUsed="0" w:uiPriority="0" w:semiHidden="0" w:name="heading 3"/>
    <w:lsdException w:qFormat="1" w:unhideWhenUsed="0" w:uiPriority="0" w:semiHidden="0" w:name="heading 4"/>
    <w:lsdException w:qFormat="1" w:unhideWhenUsed="0" w:uiPriority="0" w:semiHidden="0" w:name="heading 5"/>
    <w:lsdException w:qFormat="1" w:unhideWhenUsed="0" w:uiPriority="0" w:semiHidden="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0"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spacing w:after="160" w:line="259" w:lineRule="auto"/>
    </w:pPr>
    <w:rPr>
      <w:rFonts w:ascii="Calibri" w:hAnsi="Calibri" w:eastAsia="Calibri" w:cs="Calibri"/>
      <w:sz w:val="22"/>
      <w:szCs w:val="22"/>
      <w:lang w:val="hr"/>
    </w:rPr>
  </w:style>
  <w:style w:type="paragraph" w:styleId="2">
    <w:name w:val="heading 1"/>
    <w:basedOn w:val="1"/>
    <w:next w:val="1"/>
    <w:qFormat/>
    <w:uiPriority w:val="0"/>
    <w:pPr>
      <w:keepNext/>
      <w:keepLines/>
      <w:pageBreakBefore w:val="0"/>
      <w:spacing w:before="480" w:after="120"/>
    </w:pPr>
    <w:rPr>
      <w:b/>
      <w:bCs/>
      <w:sz w:val="48"/>
      <w:szCs w:val="48"/>
    </w:rPr>
  </w:style>
  <w:style w:type="paragraph" w:styleId="3">
    <w:name w:val="heading 2"/>
    <w:basedOn w:val="1"/>
    <w:next w:val="1"/>
    <w:qFormat/>
    <w:uiPriority w:val="0"/>
    <w:pPr>
      <w:keepNext/>
      <w:keepLines/>
      <w:pageBreakBefore w:val="0"/>
      <w:spacing w:before="360" w:after="80"/>
    </w:pPr>
    <w:rPr>
      <w:b/>
      <w:bCs/>
      <w:sz w:val="36"/>
      <w:szCs w:val="36"/>
    </w:rPr>
  </w:style>
  <w:style w:type="paragraph" w:styleId="4">
    <w:name w:val="heading 3"/>
    <w:basedOn w:val="1"/>
    <w:next w:val="1"/>
    <w:uiPriority w:val="0"/>
    <w:pPr>
      <w:keepNext/>
      <w:keepLines/>
      <w:pageBreakBefore w:val="0"/>
      <w:spacing w:before="280" w:after="80"/>
    </w:pPr>
    <w:rPr>
      <w:b/>
      <w:bCs/>
      <w:sz w:val="28"/>
      <w:szCs w:val="28"/>
    </w:rPr>
  </w:style>
  <w:style w:type="paragraph" w:styleId="5">
    <w:name w:val="heading 4"/>
    <w:basedOn w:val="1"/>
    <w:next w:val="1"/>
    <w:qFormat/>
    <w:uiPriority w:val="0"/>
    <w:pPr>
      <w:keepNext/>
      <w:keepLines/>
      <w:pageBreakBefore w:val="0"/>
      <w:spacing w:before="240" w:after="40"/>
    </w:pPr>
    <w:rPr>
      <w:b/>
      <w:bCs/>
      <w:sz w:val="24"/>
      <w:szCs w:val="24"/>
    </w:rPr>
  </w:style>
  <w:style w:type="paragraph" w:styleId="6">
    <w:name w:val="heading 5"/>
    <w:basedOn w:val="1"/>
    <w:next w:val="1"/>
    <w:qFormat/>
    <w:uiPriority w:val="0"/>
    <w:pPr>
      <w:keepNext/>
      <w:keepLines/>
      <w:pageBreakBefore w:val="0"/>
      <w:spacing w:before="220" w:after="40"/>
    </w:pPr>
    <w:rPr>
      <w:b/>
      <w:bCs/>
      <w:sz w:val="22"/>
      <w:szCs w:val="22"/>
    </w:rPr>
  </w:style>
  <w:style w:type="paragraph" w:styleId="7">
    <w:name w:val="heading 6"/>
    <w:basedOn w:val="1"/>
    <w:next w:val="1"/>
    <w:qFormat/>
    <w:uiPriority w:val="0"/>
    <w:pPr>
      <w:keepNext/>
      <w:keepLines/>
      <w:pageBreakBefore w:val="0"/>
      <w:spacing w:before="200" w:after="40"/>
    </w:pPr>
    <w:rPr>
      <w:b/>
      <w:bCs/>
      <w:sz w:val="20"/>
      <w:szCs w:val="20"/>
    </w:rPr>
  </w:style>
  <w:style w:type="character" w:default="1" w:styleId="8">
    <w:name w:val="Default Paragraph Font"/>
    <w:semiHidden/>
    <w:qFormat/>
    <w:uiPriority w:val="0"/>
  </w:style>
  <w:style w:type="table" w:default="1" w:styleId="9">
    <w:name w:val="Normal Table"/>
    <w:semiHidden/>
    <w:uiPriority w:val="0"/>
    <w:tblPr>
      <w:tblCellMar>
        <w:top w:w="0" w:type="dxa"/>
        <w:left w:w="108" w:type="dxa"/>
        <w:bottom w:w="0" w:type="dxa"/>
        <w:right w:w="108" w:type="dxa"/>
      </w:tblCellMar>
    </w:tblPr>
  </w:style>
  <w:style w:type="paragraph" w:styleId="10">
    <w:name w:val="Subtitle"/>
    <w:basedOn w:val="1"/>
    <w:next w:val="1"/>
    <w:qFormat/>
    <w:uiPriority w:val="0"/>
    <w:pPr>
      <w:keepNext/>
      <w:keepLines/>
      <w:pageBreakBefore w:val="0"/>
      <w:spacing w:before="360" w:after="80"/>
    </w:pPr>
    <w:rPr>
      <w:rFonts w:ascii="Georgia" w:hAnsi="Georgia" w:eastAsia="Georgia" w:cs="Georgia"/>
      <w:i/>
      <w:iCs/>
      <w:color w:val="666666"/>
      <w:sz w:val="48"/>
      <w:szCs w:val="48"/>
    </w:rPr>
  </w:style>
  <w:style w:type="paragraph" w:styleId="11">
    <w:name w:val="Title"/>
    <w:basedOn w:val="1"/>
    <w:next w:val="1"/>
    <w:uiPriority w:val="0"/>
    <w:pPr>
      <w:keepNext/>
      <w:keepLines/>
      <w:pageBreakBefore w:val="0"/>
      <w:spacing w:before="480" w:after="120"/>
    </w:pPr>
    <w:rPr>
      <w:b/>
      <w:bCs/>
      <w:sz w:val="72"/>
      <w:szCs w:val="72"/>
    </w:rPr>
  </w:style>
  <w:style w:type="table" w:customStyle="1" w:styleId="12">
    <w:name w:val="TableNormal"/>
    <w:qFormat/>
    <w:uiPriority w:val="0"/>
    <w:tblPr>
      <w:tblCellMar>
        <w:top w:w="100" w:type="dxa"/>
        <w:left w:w="100" w:type="dxa"/>
        <w:bottom w:w="100" w:type="dxa"/>
        <w:right w:w="100" w:type="dxa"/>
      </w:tblCellMar>
    </w:tblPr>
  </w:style>
</w:styles>
</file>

<file path=word/_rels/document.xml.rels><?xml version="1.0" encoding="UTF-8" standalone="yes"?>
<Relationships xmlns="http://schemas.openxmlformats.org/package/2006/relationships"><Relationship Id="rId6" Type="http://schemas.openxmlformats.org/officeDocument/2006/relationships/fontTable" Target="fontTable.xml"/><Relationship Id="rId5" Type="http://schemas.openxmlformats.org/officeDocument/2006/relationships/theme" Target="theme/theme1.xml"/><Relationship Id="rId4" Type="http://schemas.openxmlformats.org/officeDocument/2006/relationships/endnotes" Target="endnotes.xml"/><Relationship Id="rId3" Type="http://schemas.openxmlformats.org/officeDocument/2006/relationships/footnotes" Target="footnotes.xml"/><Relationship Id="rId2" Type="http://schemas.openxmlformats.org/officeDocument/2006/relationships/settings" Target="settings.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 Type="http://schemas.openxmlformats.org/officeDocument/2006/relationships/font" Target="fonts/font1.o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theme>
</file>

<file path=docProps/app.xml><?xml version="1.0" encoding="utf-8"?>
<Properties xmlns="http://schemas.openxmlformats.org/officeDocument/2006/extended-properties" xmlns:vt="http://schemas.openxmlformats.org/officeDocument/2006/docPropsVTypes">
  <Pages>3</Pages>
  <TotalTime>2</TotalTime>
  <ScaleCrop>false</ScaleCrop>
  <LinksUpToDate>false</LinksUpToDate>
  <Application>WPS Office_12.2.0.22222_F1E327BC-269C-435d-A152-05C5408002CA</Applicat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2026-05-08T10:03:48Z</dcterms:created>
  <dc:creator>38592</dc:creator>
  <cp:lastModifiedBy>38592</cp:lastModifiedBy>
  <dcterms:modified xsi:type="dcterms:W3CDTF">2026-05-08T10:06:03Z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1033-12.2.0.22222</vt:lpwstr>
  </property>
  <property fmtid="{D5CDD505-2E9C-101B-9397-08002B2CF9AE}" pid="3" name="ICV">
    <vt:lpwstr>EB1CD4D5276945FF9610C1BDD9582053_12</vt:lpwstr>
  </property>
</Properties>
</file>