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F4D" w:rsidRDefault="00CC2ED6" w:rsidP="004B69A9">
      <w:pPr>
        <w:spacing w:after="0"/>
        <w:jc w:val="center"/>
        <w:rPr>
          <w:i/>
          <w:sz w:val="24"/>
          <w:szCs w:val="24"/>
        </w:rPr>
      </w:pPr>
      <w:r>
        <w:rPr>
          <w:i/>
          <w:sz w:val="24"/>
          <w:szCs w:val="24"/>
        </w:rPr>
        <w:t>C</w:t>
      </w:r>
      <w:r w:rsidR="00234F4D" w:rsidRPr="00234F4D">
        <w:rPr>
          <w:i/>
          <w:sz w:val="24"/>
          <w:szCs w:val="24"/>
        </w:rPr>
        <w:t>iklus razmatranja o „Dokumentima Drugoga vatik</w:t>
      </w:r>
      <w:r w:rsidR="00234F4D">
        <w:rPr>
          <w:i/>
          <w:sz w:val="24"/>
          <w:szCs w:val="24"/>
        </w:rPr>
        <w:t>anskog koncila“</w:t>
      </w:r>
    </w:p>
    <w:p w:rsidR="00234F4D" w:rsidRDefault="00234F4D" w:rsidP="004B69A9">
      <w:pPr>
        <w:spacing w:after="0"/>
        <w:jc w:val="center"/>
        <w:rPr>
          <w:i/>
          <w:sz w:val="24"/>
          <w:szCs w:val="24"/>
        </w:rPr>
      </w:pPr>
      <w:r>
        <w:rPr>
          <w:i/>
          <w:sz w:val="24"/>
          <w:szCs w:val="24"/>
        </w:rPr>
        <w:t>konstitucija</w:t>
      </w:r>
      <w:r w:rsidRPr="00234F4D">
        <w:rPr>
          <w:i/>
          <w:sz w:val="24"/>
          <w:szCs w:val="24"/>
        </w:rPr>
        <w:t xml:space="preserve"> Sacrosanctum Concilium</w:t>
      </w:r>
      <w:r>
        <w:rPr>
          <w:i/>
          <w:sz w:val="24"/>
          <w:szCs w:val="24"/>
        </w:rPr>
        <w:t xml:space="preserve"> – razlozi liturgijske reforme</w:t>
      </w:r>
    </w:p>
    <w:p w:rsidR="00234F4D" w:rsidRPr="00234F4D" w:rsidRDefault="00CC2ED6" w:rsidP="004B69A9">
      <w:pPr>
        <w:spacing w:after="0"/>
        <w:jc w:val="center"/>
        <w:rPr>
          <w:i/>
          <w:sz w:val="24"/>
          <w:szCs w:val="24"/>
        </w:rPr>
      </w:pPr>
      <w:r>
        <w:rPr>
          <w:i/>
          <w:sz w:val="24"/>
          <w:szCs w:val="24"/>
        </w:rPr>
        <w:t>(Čitanje: Heb 10, 8-10)</w:t>
      </w:r>
      <w:bookmarkStart w:id="0" w:name="_GoBack"/>
      <w:bookmarkEnd w:id="0"/>
    </w:p>
    <w:p w:rsidR="00234F4D" w:rsidRDefault="00234F4D" w:rsidP="004B69A9">
      <w:pPr>
        <w:spacing w:after="0"/>
        <w:rPr>
          <w:sz w:val="24"/>
          <w:szCs w:val="24"/>
        </w:rPr>
      </w:pPr>
    </w:p>
    <w:p w:rsidR="00234F4D" w:rsidRDefault="00234F4D" w:rsidP="004B69A9">
      <w:pPr>
        <w:spacing w:after="0"/>
        <w:rPr>
          <w:sz w:val="24"/>
          <w:szCs w:val="24"/>
        </w:rPr>
      </w:pPr>
    </w:p>
    <w:p w:rsidR="00234F4D" w:rsidRPr="00234F4D" w:rsidRDefault="00234F4D" w:rsidP="004B69A9">
      <w:pPr>
        <w:spacing w:after="0"/>
        <w:rPr>
          <w:sz w:val="24"/>
          <w:szCs w:val="24"/>
        </w:rPr>
      </w:pPr>
      <w:r w:rsidRPr="00234F4D">
        <w:rPr>
          <w:sz w:val="24"/>
          <w:szCs w:val="24"/>
        </w:rPr>
        <w:t>Draga braćo i sestre,</w:t>
      </w:r>
    </w:p>
    <w:p w:rsidR="00234F4D" w:rsidRPr="004248A1" w:rsidRDefault="00234F4D" w:rsidP="004B69A9">
      <w:pPr>
        <w:spacing w:after="0" w:line="300" w:lineRule="atLeast"/>
        <w:rPr>
          <w:rFonts w:eastAsia="Times New Roman" w:cstheme="minorHAnsi"/>
          <w:sz w:val="24"/>
          <w:szCs w:val="24"/>
          <w:lang w:eastAsia="hr-HR"/>
        </w:rPr>
      </w:pPr>
      <w:r w:rsidRPr="00234F4D">
        <w:rPr>
          <w:sz w:val="24"/>
          <w:szCs w:val="24"/>
        </w:rPr>
        <w:t xml:space="preserve">u ovoj posljednjoj katehezi o konstituciji Sacrosanctum Concilium želim se danas zadržati na razlozima zbog kojih su koncilski oci htjeli promicati liturgijsku reformu. U tom je smislu vrlo znakovito treće pismo s Koncila koje je kardinal Giovanni Battista Montini, tadašnji milanski </w:t>
      </w:r>
      <w:r w:rsidRPr="004248A1">
        <w:rPr>
          <w:rFonts w:cstheme="minorHAnsi"/>
          <w:sz w:val="24"/>
          <w:szCs w:val="24"/>
        </w:rPr>
        <w:t>nadbiskup, 28. listopada 1962. uputio vjernicima svoje mjesne Crkve. Liturgija je, pisao je, „iskren izraz božanskoga i ljudskoga. Ona je govor. Ona je sredstvo božanskoga naučavanja s jedne strane, a glas razgovora s Bogom s druge. Jasno je da se ne može odreći svoje poučne zadaće niti može uskratiti vjeri i pobožnosti mogućnost da se izra</w:t>
      </w:r>
      <w:r w:rsidR="004248A1" w:rsidRPr="004248A1">
        <w:rPr>
          <w:rFonts w:cstheme="minorHAnsi"/>
          <w:sz w:val="24"/>
          <w:szCs w:val="24"/>
        </w:rPr>
        <w:t>ze spontanom razumljivošću.“ (</w:t>
      </w:r>
      <w:r w:rsidR="004248A1" w:rsidRPr="004248A1">
        <w:rPr>
          <w:rFonts w:eastAsia="Times New Roman" w:cstheme="minorHAnsi"/>
          <w:sz w:val="24"/>
          <w:szCs w:val="24"/>
          <w:lang w:eastAsia="hr-HR"/>
        </w:rPr>
        <w:t xml:space="preserve">G. B. Montini, „Treće pismo s Koncila“, </w:t>
      </w:r>
      <w:r w:rsidR="004248A1" w:rsidRPr="004248A1">
        <w:rPr>
          <w:rFonts w:eastAsia="Times New Roman" w:cstheme="minorHAnsi"/>
          <w:i/>
          <w:iCs/>
          <w:sz w:val="24"/>
          <w:szCs w:val="24"/>
          <w:lang w:eastAsia="hr-HR"/>
        </w:rPr>
        <w:t>Milanski dijecezanski vjesnik</w:t>
      </w:r>
      <w:r w:rsidR="004248A1" w:rsidRPr="004248A1">
        <w:rPr>
          <w:rFonts w:eastAsia="Times New Roman" w:cstheme="minorHAnsi"/>
          <w:sz w:val="24"/>
          <w:szCs w:val="24"/>
          <w:lang w:eastAsia="hr-HR"/>
        </w:rPr>
        <w:t xml:space="preserve"> (</w:t>
      </w:r>
      <w:r w:rsidR="004248A1" w:rsidRPr="004248A1">
        <w:rPr>
          <w:rFonts w:eastAsia="Times New Roman" w:cstheme="minorHAnsi"/>
          <w:i/>
          <w:iCs/>
          <w:sz w:val="24"/>
          <w:szCs w:val="24"/>
          <w:lang w:eastAsia="hr-HR"/>
        </w:rPr>
        <w:t>Rivista Diocesana Milanese</w:t>
      </w:r>
      <w:r w:rsidR="004248A1">
        <w:rPr>
          <w:rFonts w:eastAsia="Times New Roman" w:cstheme="minorHAnsi"/>
          <w:sz w:val="24"/>
          <w:szCs w:val="24"/>
          <w:lang w:eastAsia="hr-HR"/>
        </w:rPr>
        <w:t>), 51 (1962.</w:t>
      </w:r>
      <w:r w:rsidR="004248A1" w:rsidRPr="004248A1">
        <w:rPr>
          <w:rFonts w:cstheme="minorHAnsi"/>
          <w:sz w:val="24"/>
          <w:szCs w:val="24"/>
        </w:rPr>
        <w:t>)</w:t>
      </w:r>
      <w:r w:rsidR="004248A1">
        <w:rPr>
          <w:rFonts w:cstheme="minorHAnsi"/>
          <w:sz w:val="24"/>
          <w:szCs w:val="24"/>
        </w:rPr>
        <w:t xml:space="preserve">. </w:t>
      </w:r>
      <w:r w:rsidRPr="004248A1">
        <w:rPr>
          <w:rFonts w:cstheme="minorHAnsi"/>
          <w:sz w:val="24"/>
          <w:szCs w:val="24"/>
        </w:rPr>
        <w:t>Potaknut tim uvjerenjima, budući papa sveti Pavao VI. ustvrdio je da vjernici „više ne mogu i ne smiju ostati nijemi i pasivni. Njihova tjelesna nazočnost ne može biti u skladu s n</w:t>
      </w:r>
      <w:r w:rsidR="004248A1">
        <w:rPr>
          <w:rFonts w:cstheme="minorHAnsi"/>
          <w:sz w:val="24"/>
          <w:szCs w:val="24"/>
        </w:rPr>
        <w:t>jihovom duhovnom odsutnošću.“ (isto).</w:t>
      </w:r>
    </w:p>
    <w:p w:rsidR="00234F4D" w:rsidRPr="00234F4D" w:rsidRDefault="00234F4D" w:rsidP="004B69A9">
      <w:pPr>
        <w:spacing w:after="0"/>
        <w:rPr>
          <w:sz w:val="24"/>
          <w:szCs w:val="24"/>
        </w:rPr>
      </w:pPr>
      <w:r w:rsidRPr="004248A1">
        <w:rPr>
          <w:rFonts w:cstheme="minorHAnsi"/>
          <w:sz w:val="24"/>
          <w:szCs w:val="24"/>
        </w:rPr>
        <w:t>Očita je podudarnost tih izjava s onime što će biti zapisano u 48. broju koncilske konstitucije: „Crkva se žarko brine da vjernici ne prisustvuju</w:t>
      </w:r>
      <w:r w:rsidRPr="00234F4D">
        <w:rPr>
          <w:sz w:val="24"/>
          <w:szCs w:val="24"/>
        </w:rPr>
        <w:t xml:space="preserve"> tom otajstvu vjere kao tuđinci ili nijemi promatrači, nego da ga, dobro razumijevajući po obredima i molitvama, svjesno, pobožno i djelatno proživljavaju; da budu poučeni Božjom riječju; da se hrane za stolom Tijela Gospodnjega; da zahvaljuju Bogu; da, prinoseći žrtvu neokaljanu ne samo po rukama svećenika nego zajedno s njime, nauče prinositi same sebe te da se iz dana u dan, po Kristu Posredniku, usavršuju u jedinstvu s Bogom i međusobno.“</w:t>
      </w:r>
    </w:p>
    <w:p w:rsidR="00234F4D" w:rsidRPr="00234F4D" w:rsidRDefault="00234F4D" w:rsidP="004B69A9">
      <w:pPr>
        <w:spacing w:after="0"/>
        <w:rPr>
          <w:sz w:val="24"/>
          <w:szCs w:val="24"/>
        </w:rPr>
      </w:pPr>
      <w:r w:rsidRPr="00234F4D">
        <w:rPr>
          <w:sz w:val="24"/>
          <w:szCs w:val="24"/>
        </w:rPr>
        <w:t>U tim riječima prepoznaje se obnovljena svijest o vrijednosti liturgije. Kroz obredne čine Crkve, dok se ostvaruje spomen-otajstvo djela spasenja, čovjeku se daje mogućnost živjeti istinski odnos s Bogom, ulazeći u doticaj sa spasenjskim događajem. Budući da su geste i riječi svete liturgije presudne za ostvarenje toga iskustva, sudjelovanje vjernika ne može biti pasivno.</w:t>
      </w:r>
    </w:p>
    <w:p w:rsidR="00234F4D" w:rsidRPr="004B69A9" w:rsidRDefault="00234F4D" w:rsidP="004B69A9">
      <w:pPr>
        <w:spacing w:after="0" w:line="300" w:lineRule="atLeast"/>
        <w:rPr>
          <w:rFonts w:ascii="Segoe UI" w:eastAsia="Times New Roman" w:hAnsi="Segoe UI" w:cs="Segoe UI"/>
          <w:sz w:val="21"/>
          <w:szCs w:val="21"/>
          <w:lang w:eastAsia="hr-HR"/>
        </w:rPr>
      </w:pPr>
      <w:r w:rsidRPr="00234F4D">
        <w:rPr>
          <w:sz w:val="24"/>
          <w:szCs w:val="24"/>
        </w:rPr>
        <w:t>Koncilska reforma, stavljajući u središte ono što čini srž crkvenoga iskustva, željela je da liturgija još jasnije zasja kao „prvotni izvor onoga božanskoga zajedništva po kojem nam s</w:t>
      </w:r>
      <w:r w:rsidR="004B69A9">
        <w:rPr>
          <w:sz w:val="24"/>
          <w:szCs w:val="24"/>
        </w:rPr>
        <w:t xml:space="preserve">e priopćuje sam Božji </w:t>
      </w:r>
      <w:r w:rsidR="004B69A9" w:rsidRPr="004B69A9">
        <w:rPr>
          <w:rFonts w:cstheme="minorHAnsi"/>
          <w:sz w:val="24"/>
          <w:szCs w:val="24"/>
        </w:rPr>
        <w:t xml:space="preserve">život“ ( </w:t>
      </w:r>
      <w:r w:rsidR="004B69A9" w:rsidRPr="004B69A9">
        <w:rPr>
          <w:rFonts w:eastAsia="Times New Roman" w:cstheme="minorHAnsi"/>
          <w:sz w:val="24"/>
          <w:szCs w:val="24"/>
          <w:lang w:eastAsia="hr-HR"/>
        </w:rPr>
        <w:t>Svečani završetak drugoga zasjedanja Koncila, govor svetoga pape Pavla VI. (4. prosinca 1963.)</w:t>
      </w:r>
      <w:r w:rsidRPr="004B69A9">
        <w:rPr>
          <w:rFonts w:cstheme="minorHAnsi"/>
          <w:sz w:val="24"/>
          <w:szCs w:val="24"/>
        </w:rPr>
        <w:t xml:space="preserve"> Iz toga je uvjerenja</w:t>
      </w:r>
      <w:r w:rsidRPr="00234F4D">
        <w:rPr>
          <w:sz w:val="24"/>
          <w:szCs w:val="24"/>
        </w:rPr>
        <w:t xml:space="preserve"> proizašla potreba da se svim vjernicima učini dostupnijim bogatstvo biblijskih tekstova i molitava te da ustroj slavlja bude pregledniji u odnosu na onaj predviđen tada važećim liturgijskim knjigama.</w:t>
      </w:r>
    </w:p>
    <w:p w:rsidR="00234F4D" w:rsidRPr="00234F4D" w:rsidRDefault="004B69A9" w:rsidP="004B69A9">
      <w:pPr>
        <w:spacing w:after="0"/>
        <w:rPr>
          <w:sz w:val="24"/>
          <w:szCs w:val="24"/>
        </w:rPr>
      </w:pPr>
      <w:r>
        <w:rPr>
          <w:sz w:val="24"/>
          <w:szCs w:val="24"/>
        </w:rPr>
        <w:t xml:space="preserve">Liturgija je </w:t>
      </w:r>
      <w:r w:rsidR="00234F4D" w:rsidRPr="00234F4D">
        <w:rPr>
          <w:sz w:val="24"/>
          <w:szCs w:val="24"/>
        </w:rPr>
        <w:t>kao živa stvarnost tijekom stoljeća uvijek bila podložna razvoju i promjenama. Učiteljstvo Crkve prilagođavalo je njezine oblike potrebama različitih razdoblja. Stoga ne iznenađuje da je i Drugi vatikanski koncil, uz najveće poštovanje prema baštini Predaje i upravo kako bi je učinio pristupačnijom, smatrao potrebnim revidirati i obnoviti liturgijske knjige.</w:t>
      </w:r>
    </w:p>
    <w:p w:rsidR="00234F4D" w:rsidRPr="00234F4D" w:rsidRDefault="00234F4D" w:rsidP="004B69A9">
      <w:pPr>
        <w:spacing w:after="0"/>
        <w:rPr>
          <w:sz w:val="24"/>
          <w:szCs w:val="24"/>
        </w:rPr>
      </w:pPr>
      <w:r w:rsidRPr="00234F4D">
        <w:rPr>
          <w:sz w:val="24"/>
          <w:szCs w:val="24"/>
        </w:rPr>
        <w:t xml:space="preserve">Cilj koji su koncilski oci imali pred očima izričito je naveden u 21. broju konstitucije Sacrosanctum Concilium: „Da bi kršćanski narod sigurnije crpio obilne milosti koje sveta liturgija sadrži, sveta Majka Crkva želi provesti brižljivu opću obnovu </w:t>
      </w:r>
      <w:r w:rsidR="004B69A9">
        <w:rPr>
          <w:sz w:val="24"/>
          <w:szCs w:val="24"/>
        </w:rPr>
        <w:t xml:space="preserve">liturgije. Liturgija se </w:t>
      </w:r>
      <w:r w:rsidRPr="00234F4D">
        <w:rPr>
          <w:sz w:val="24"/>
          <w:szCs w:val="24"/>
        </w:rPr>
        <w:t xml:space="preserve">sastoji od nepromjenjivoga dijela, jer je božanskoga ustanovljenja, i od dijelova podložnih promjenama, koji se tijekom vremena mogu, a katkad i moraju mijenjati, ako su se u njih </w:t>
      </w:r>
      <w:r w:rsidRPr="00234F4D">
        <w:rPr>
          <w:sz w:val="24"/>
          <w:szCs w:val="24"/>
        </w:rPr>
        <w:lastRenderedPageBreak/>
        <w:t>uvukli elementi koji manje odgovaraju nutarnjoj naravi same liturgije ili su postali neprikladni. U toj obnovi valja tako urediti tekstove i obrede da se svete stvarnosti koje oni označuju jasnije izraze te da ih kršćanski narod može lakše razumjeti i u njima sudjelovati punim, djelatnim i zajedničkim slavljem.“</w:t>
      </w:r>
    </w:p>
    <w:p w:rsidR="00234F4D" w:rsidRPr="00234F4D" w:rsidRDefault="00234F4D" w:rsidP="004B69A9">
      <w:pPr>
        <w:spacing w:after="0"/>
        <w:rPr>
          <w:sz w:val="24"/>
          <w:szCs w:val="24"/>
        </w:rPr>
      </w:pPr>
      <w:r w:rsidRPr="00234F4D">
        <w:rPr>
          <w:sz w:val="24"/>
          <w:szCs w:val="24"/>
        </w:rPr>
        <w:t>Razlikovanje božanskih, nepromjenjivih elemenata i ljudskih elemenata u liturgiji, koji se mogu mijenjati, potječe već iz enciklike Mediator Dei pape Pija XII., prema kojoj oni „mogu podlijegati različitim promjenama koje, uz pomoć Duha Svetoga, odobrava sveta hijerarhija prema zahtjevima vremena, okolnosti i duša“ (Acta Apostolicae Sedis 39, 1947., str. 541-542).</w:t>
      </w:r>
    </w:p>
    <w:p w:rsidR="00234F4D" w:rsidRPr="00234F4D" w:rsidRDefault="00234F4D" w:rsidP="004B69A9">
      <w:pPr>
        <w:spacing w:after="0"/>
        <w:rPr>
          <w:sz w:val="24"/>
          <w:szCs w:val="24"/>
        </w:rPr>
      </w:pPr>
      <w:r w:rsidRPr="00234F4D">
        <w:rPr>
          <w:sz w:val="24"/>
          <w:szCs w:val="24"/>
        </w:rPr>
        <w:t>Uostalom, želja za „općom obnovom“ nije se pojavila iznenada. Ona se očitovala u djelovanju papa od samoga početka 20. stoljeća, u skladu s nastojanjima liturgijskoga pokreta. Tvrdnja da vjernici ne smiju sudjelovati u bogoslužju „kao tuđinci ili nijemi promatrači“ već se nalazila u apostolskoj konstituciji Divini Cultus pape Pija XI. Možemo također spomenuti zahvate koje je papa Pio XII. poduzeo u uređenju obreda Velikoga tjedna, vraćajući ih u vrijeme koje odgovara vazmenim događajima, nakon što su stoljećima bili premješteni u jutarnje sate.</w:t>
      </w:r>
    </w:p>
    <w:p w:rsidR="00234F4D" w:rsidRPr="00234F4D" w:rsidRDefault="00234F4D" w:rsidP="004B69A9">
      <w:pPr>
        <w:spacing w:after="0"/>
        <w:rPr>
          <w:sz w:val="24"/>
          <w:szCs w:val="24"/>
        </w:rPr>
      </w:pPr>
      <w:r w:rsidRPr="00234F4D">
        <w:rPr>
          <w:sz w:val="24"/>
          <w:szCs w:val="24"/>
        </w:rPr>
        <w:t>Ne smije se zaboraviti ni da je sveti Ivan XXIII. smatrao potrebnim pojednostavniti rubrike Časo</w:t>
      </w:r>
      <w:r w:rsidR="004B69A9">
        <w:rPr>
          <w:sz w:val="24"/>
          <w:szCs w:val="24"/>
        </w:rPr>
        <w:t>slova i Misala, što je odobrio M</w:t>
      </w:r>
      <w:r w:rsidRPr="00234F4D">
        <w:rPr>
          <w:sz w:val="24"/>
          <w:szCs w:val="24"/>
        </w:rPr>
        <w:t>otu</w:t>
      </w:r>
      <w:r w:rsidR="004B69A9">
        <w:rPr>
          <w:sz w:val="24"/>
          <w:szCs w:val="24"/>
        </w:rPr>
        <w:t xml:space="preserve"> </w:t>
      </w:r>
      <w:r w:rsidRPr="00234F4D">
        <w:rPr>
          <w:sz w:val="24"/>
          <w:szCs w:val="24"/>
        </w:rPr>
        <w:t>proprijem Rubricarum instructum od 25. srpnja 1960., u kojemu je temeljna načela buduće liturgijske reforme prepustio najavljenom ekumenskom saboru.</w:t>
      </w:r>
    </w:p>
    <w:p w:rsidR="00234F4D" w:rsidRPr="00234F4D" w:rsidRDefault="00234F4D" w:rsidP="004B69A9">
      <w:pPr>
        <w:spacing w:after="0"/>
        <w:rPr>
          <w:sz w:val="24"/>
          <w:szCs w:val="24"/>
        </w:rPr>
      </w:pPr>
      <w:r w:rsidRPr="00234F4D">
        <w:rPr>
          <w:sz w:val="24"/>
          <w:szCs w:val="24"/>
        </w:rPr>
        <w:t>Liturgijska reforma koju je promicao Drugi vatikanski koncil, dakle, stoji u kontinuitetu žive predaje Crkve. Njezino ispravno razumijevanje omogućuje i odbacivanje zloporaba koje su se pojavile u pojedinim dijelovima Crkve u poslijekoncilskom razdoblju, a koje se, nažalost, ponegdje javljaju i danas, kada se pojedina načela same reforme apsolutiziraju ili pogrešno tumače.</w:t>
      </w:r>
    </w:p>
    <w:p w:rsidR="00234F4D" w:rsidRPr="00234F4D" w:rsidRDefault="00234F4D" w:rsidP="004B69A9">
      <w:pPr>
        <w:spacing w:after="0"/>
        <w:rPr>
          <w:sz w:val="24"/>
          <w:szCs w:val="24"/>
        </w:rPr>
      </w:pPr>
      <w:r w:rsidRPr="00234F4D">
        <w:rPr>
          <w:sz w:val="24"/>
          <w:szCs w:val="24"/>
        </w:rPr>
        <w:t>U tom je pogledu korisno podsjetiti da koncilska konstitucija ističe kako „liturgijski čini nisu privatni čini, nego slavlja Crkve koja je ‘sakrament jedinstva’, to jest sveti narod sabran i uređen pod vodstvom biskupa. Zato ti čini pripadaju cijelome tijelu Crkve, njega očituju i na njega djeluju“ (Sacrosanctum Concilium, br. 26).</w:t>
      </w:r>
    </w:p>
    <w:p w:rsidR="00234F4D" w:rsidRPr="00234F4D" w:rsidRDefault="00234F4D" w:rsidP="004B69A9">
      <w:pPr>
        <w:spacing w:after="0"/>
        <w:rPr>
          <w:sz w:val="24"/>
          <w:szCs w:val="24"/>
        </w:rPr>
      </w:pPr>
      <w:r w:rsidRPr="00234F4D">
        <w:rPr>
          <w:sz w:val="24"/>
          <w:szCs w:val="24"/>
        </w:rPr>
        <w:t>Stoga je prvenstvena odgovornost crkvenih pastira, biskupa, ali i svakoga pojedinog svećenika, čuvati i promicati liturgiju koja će, u vjernosti liturgijskim propisima, sjati plemenitom jednostavnošću (usp. br. 34) te tako očitovati Crkvu jednu, svetu, katoličku i apostolsku.</w:t>
      </w:r>
    </w:p>
    <w:p w:rsidR="00234F4D" w:rsidRPr="00234F4D" w:rsidRDefault="00234F4D" w:rsidP="004B69A9">
      <w:pPr>
        <w:spacing w:after="0"/>
        <w:rPr>
          <w:sz w:val="24"/>
          <w:szCs w:val="24"/>
        </w:rPr>
      </w:pPr>
      <w:r w:rsidRPr="00234F4D">
        <w:rPr>
          <w:sz w:val="24"/>
          <w:szCs w:val="24"/>
        </w:rPr>
        <w:t>Takva će liturgija biti i temeljno sredstvo evangelizacije, oruđe milosti po kojemu ćemo, kako uči Koncil, naučiti prinositi same sebe te ćemo po Kristovu posredovanju biti usavršavani u jedinstvu s Bogom i međusobno (usp. br. 48).</w:t>
      </w:r>
    </w:p>
    <w:p w:rsidR="009656EA" w:rsidRPr="00234F4D" w:rsidRDefault="009656EA" w:rsidP="004B69A9">
      <w:pPr>
        <w:spacing w:after="0"/>
        <w:rPr>
          <w:sz w:val="24"/>
          <w:szCs w:val="24"/>
        </w:rPr>
      </w:pPr>
    </w:p>
    <w:sectPr w:rsidR="009656EA" w:rsidRPr="00234F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405"/>
    <w:rsid w:val="00234F4D"/>
    <w:rsid w:val="004248A1"/>
    <w:rsid w:val="004B69A9"/>
    <w:rsid w:val="00885405"/>
    <w:rsid w:val="009656EA"/>
    <w:rsid w:val="00CC2E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95EE8"/>
  <w15:chartTrackingRefBased/>
  <w15:docId w15:val="{994A8184-D0DC-4778-A326-B349AB03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4F4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234F4D"/>
    <w:rPr>
      <w:b/>
      <w:bCs/>
    </w:rPr>
  </w:style>
  <w:style w:type="character" w:styleId="Emphasis">
    <w:name w:val="Emphasis"/>
    <w:basedOn w:val="DefaultParagraphFont"/>
    <w:uiPriority w:val="20"/>
    <w:qFormat/>
    <w:rsid w:val="00234F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97063">
      <w:bodyDiv w:val="1"/>
      <w:marLeft w:val="0"/>
      <w:marRight w:val="0"/>
      <w:marTop w:val="0"/>
      <w:marBottom w:val="0"/>
      <w:divBdr>
        <w:top w:val="none" w:sz="0" w:space="0" w:color="auto"/>
        <w:left w:val="none" w:sz="0" w:space="0" w:color="auto"/>
        <w:bottom w:val="none" w:sz="0" w:space="0" w:color="auto"/>
        <w:right w:val="none" w:sz="0" w:space="0" w:color="auto"/>
      </w:divBdr>
      <w:divsChild>
        <w:div w:id="753863511">
          <w:marLeft w:val="0"/>
          <w:marRight w:val="0"/>
          <w:marTop w:val="0"/>
          <w:marBottom w:val="0"/>
          <w:divBdr>
            <w:top w:val="none" w:sz="0" w:space="0" w:color="auto"/>
            <w:left w:val="none" w:sz="0" w:space="0" w:color="auto"/>
            <w:bottom w:val="none" w:sz="0" w:space="0" w:color="auto"/>
            <w:right w:val="none" w:sz="0" w:space="0" w:color="auto"/>
          </w:divBdr>
        </w:div>
      </w:divsChild>
    </w:div>
    <w:div w:id="1749762191">
      <w:bodyDiv w:val="1"/>
      <w:marLeft w:val="0"/>
      <w:marRight w:val="0"/>
      <w:marTop w:val="0"/>
      <w:marBottom w:val="0"/>
      <w:divBdr>
        <w:top w:val="none" w:sz="0" w:space="0" w:color="auto"/>
        <w:left w:val="none" w:sz="0" w:space="0" w:color="auto"/>
        <w:bottom w:val="none" w:sz="0" w:space="0" w:color="auto"/>
        <w:right w:val="none" w:sz="0" w:space="0" w:color="auto"/>
      </w:divBdr>
      <w:divsChild>
        <w:div w:id="90784722">
          <w:marLeft w:val="0"/>
          <w:marRight w:val="0"/>
          <w:marTop w:val="0"/>
          <w:marBottom w:val="0"/>
          <w:divBdr>
            <w:top w:val="none" w:sz="0" w:space="0" w:color="auto"/>
            <w:left w:val="none" w:sz="0" w:space="0" w:color="auto"/>
            <w:bottom w:val="none" w:sz="0" w:space="0" w:color="auto"/>
            <w:right w:val="none" w:sz="0" w:space="0" w:color="auto"/>
          </w:divBdr>
        </w:div>
      </w:divsChild>
    </w:div>
    <w:div w:id="2032534758">
      <w:bodyDiv w:val="1"/>
      <w:marLeft w:val="0"/>
      <w:marRight w:val="0"/>
      <w:marTop w:val="0"/>
      <w:marBottom w:val="0"/>
      <w:divBdr>
        <w:top w:val="none" w:sz="0" w:space="0" w:color="auto"/>
        <w:left w:val="none" w:sz="0" w:space="0" w:color="auto"/>
        <w:bottom w:val="none" w:sz="0" w:space="0" w:color="auto"/>
        <w:right w:val="none" w:sz="0" w:space="0" w:color="auto"/>
      </w:divBdr>
      <w:divsChild>
        <w:div w:id="1141383337">
          <w:marLeft w:val="0"/>
          <w:marRight w:val="0"/>
          <w:marTop w:val="0"/>
          <w:marBottom w:val="0"/>
          <w:divBdr>
            <w:top w:val="none" w:sz="0" w:space="0" w:color="auto"/>
            <w:left w:val="none" w:sz="0" w:space="0" w:color="auto"/>
            <w:bottom w:val="none" w:sz="0" w:space="0" w:color="auto"/>
            <w:right w:val="none" w:sz="0" w:space="0" w:color="auto"/>
          </w:divBdr>
        </w:div>
      </w:divsChild>
    </w:div>
    <w:div w:id="2110077655">
      <w:bodyDiv w:val="1"/>
      <w:marLeft w:val="0"/>
      <w:marRight w:val="0"/>
      <w:marTop w:val="0"/>
      <w:marBottom w:val="0"/>
      <w:divBdr>
        <w:top w:val="none" w:sz="0" w:space="0" w:color="auto"/>
        <w:left w:val="none" w:sz="0" w:space="0" w:color="auto"/>
        <w:bottom w:val="none" w:sz="0" w:space="0" w:color="auto"/>
        <w:right w:val="none" w:sz="0" w:space="0" w:color="auto"/>
      </w:divBdr>
      <w:divsChild>
        <w:div w:id="1817140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Mihaela Rittinger</cp:lastModifiedBy>
  <cp:revision>4</cp:revision>
  <dcterms:created xsi:type="dcterms:W3CDTF">2026-08-26T07:45:00Z</dcterms:created>
  <dcterms:modified xsi:type="dcterms:W3CDTF">2026-08-26T08:34:00Z</dcterms:modified>
</cp:coreProperties>
</file>